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1DEF4">
      <w:pPr>
        <w:pStyle w:val="4"/>
        <w:keepNext w:val="0"/>
        <w:keepLines w:val="0"/>
        <w:pageBreakBefore w:val="0"/>
        <w:widowControl w:val="0"/>
        <w:spacing w:before="0" w:line="360" w:lineRule="auto"/>
        <w:ind w:left="0"/>
        <w:jc w:val="center"/>
        <w:rPr>
          <w:rFonts w:hint="eastAsia" w:ascii="楷体" w:hAnsi="楷体" w:eastAsia="楷体" w:cs="楷体"/>
          <w:b/>
          <w:bCs/>
          <w:color w:val="auto"/>
          <w:sz w:val="36"/>
          <w:szCs w:val="36"/>
          <w:highlight w:val="none"/>
          <w:lang w:val="en-US"/>
        </w:rPr>
      </w:pPr>
      <w:r>
        <w:rPr>
          <w:rFonts w:hint="eastAsia" w:ascii="楷体" w:hAnsi="楷体" w:eastAsia="楷体" w:cs="楷体"/>
          <w:b/>
          <w:bCs/>
          <w:color w:val="auto"/>
          <w:sz w:val="36"/>
          <w:szCs w:val="36"/>
          <w:highlight w:val="none"/>
          <w:lang w:val="en-US"/>
        </w:rPr>
        <w:t>采购需求</w:t>
      </w:r>
    </w:p>
    <w:p w14:paraId="5CA7A225">
      <w:pPr>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一、工程概况</w:t>
      </w:r>
    </w:p>
    <w:p w14:paraId="2F289F7E">
      <w:pPr>
        <w:spacing w:line="360" w:lineRule="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1、本工程为</w:t>
      </w:r>
      <w:r>
        <w:rPr>
          <w:rFonts w:hint="eastAsia" w:ascii="楷体" w:hAnsi="楷体" w:eastAsia="楷体" w:cs="楷体"/>
          <w:b w:val="0"/>
          <w:bCs w:val="0"/>
          <w:color w:val="auto"/>
          <w:sz w:val="28"/>
          <w:szCs w:val="28"/>
          <w:highlight w:val="none"/>
          <w:lang w:eastAsia="zh-CN"/>
        </w:rPr>
        <w:t>丹徒区检察院“未成年人司法办案专区建设项目”（二次）</w:t>
      </w:r>
      <w:r>
        <w:rPr>
          <w:rFonts w:hint="eastAsia" w:ascii="楷体" w:hAnsi="楷体" w:eastAsia="楷体" w:cs="楷体"/>
          <w:b w:val="0"/>
          <w:bCs w:val="0"/>
          <w:color w:val="auto"/>
          <w:sz w:val="28"/>
          <w:szCs w:val="28"/>
          <w:highlight w:val="none"/>
        </w:rPr>
        <w:t>，包含装修工程、安装工程、智能化设备工程，属于检察机关基础设施建设的一部分，以确保检察院正常履行法律监督职能，提供必要的工作环境和条件。</w:t>
      </w:r>
    </w:p>
    <w:p w14:paraId="631BF947">
      <w:pPr>
        <w:spacing w:line="360" w:lineRule="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2、项目建设单位：镇江市丹徒区人民检察院。</w:t>
      </w:r>
    </w:p>
    <w:p w14:paraId="6235FCF0">
      <w:pPr>
        <w:spacing w:line="360" w:lineRule="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3、主要工作内容：拆除部分房间墙体等结构及装修，并清运拆除垃圾；块料楼地面、金属踢脚线、内墙涂料及吊顶等装修工程；强、弱电及智能化工程；未考虑空调设备费用，连廊防水施工费用已计在专业工程暂估价内。</w:t>
      </w:r>
    </w:p>
    <w:p w14:paraId="4E1FD1CE">
      <w:pPr>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二、工程量清单编制依据</w:t>
      </w:r>
    </w:p>
    <w:p w14:paraId="35AA1EF4">
      <w:pPr>
        <w:spacing w:line="360" w:lineRule="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1、《建设工程工程量清单计价规范》（GB50500-2013）、《房屋建筑与装饰工程计量规范》（GB50854-2013）、《江苏省建筑与装饰工程计价定额》（2014年）、《江苏省房屋修缮工程计价表》（2009年）、《江苏省安装工程计价定额》（2014年）、《江苏省建设工程费用定额》（2016年营改增后调整），截止2025年10月底以前镇江市相关工程造价计价文件。</w:t>
      </w:r>
    </w:p>
    <w:p w14:paraId="463965FF">
      <w:pPr>
        <w:spacing w:line="360" w:lineRule="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2、人工执行苏建函价（2025）273号文件；税改文件苏建函价2019_178号文。</w:t>
      </w:r>
    </w:p>
    <w:p w14:paraId="5C2AC4E8">
      <w:pPr>
        <w:spacing w:line="360" w:lineRule="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3、本清单以镇江市丹徒区人民检察院局部改造、装修、安装施工内容编制。</w:t>
      </w:r>
    </w:p>
    <w:p w14:paraId="2D3F8244">
      <w:pPr>
        <w:spacing w:line="360" w:lineRule="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4、工程类别及取费标准分别按修缮建筑工程、单独装饰工程、安装三类工程计取，管理费和利润由投标人结合工程具体情况、企业管理水平自主确定。</w:t>
      </w:r>
    </w:p>
    <w:p w14:paraId="0DBCEF99">
      <w:pPr>
        <w:spacing w:line="360" w:lineRule="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5、工程不可竞争费费率如下表（%）：</w:t>
      </w:r>
    </w:p>
    <w:tbl>
      <w:tblPr>
        <w:tblStyle w:val="2"/>
        <w:tblpPr w:leftFromText="180" w:rightFromText="180" w:vertAnchor="text" w:horzAnchor="page" w:tblpXSpec="center" w:tblpY="124"/>
        <w:tblW w:w="10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6"/>
        <w:gridCol w:w="1117"/>
        <w:gridCol w:w="1102"/>
        <w:gridCol w:w="1145"/>
        <w:gridCol w:w="931"/>
        <w:gridCol w:w="1074"/>
        <w:gridCol w:w="1067"/>
        <w:gridCol w:w="1705"/>
      </w:tblGrid>
      <w:tr w14:paraId="2A0A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056" w:type="dxa"/>
            <w:vMerge w:val="restart"/>
            <w:noWrap w:val="0"/>
            <w:vAlign w:val="center"/>
          </w:tcPr>
          <w:p w14:paraId="00CA1C7B">
            <w:pPr>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工程项目</w:t>
            </w:r>
          </w:p>
        </w:tc>
        <w:tc>
          <w:tcPr>
            <w:tcW w:w="1117" w:type="dxa"/>
            <w:vMerge w:val="restart"/>
            <w:noWrap w:val="0"/>
            <w:vAlign w:val="center"/>
          </w:tcPr>
          <w:p w14:paraId="1A8FBBB3">
            <w:pPr>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社会保险费</w:t>
            </w:r>
          </w:p>
        </w:tc>
        <w:tc>
          <w:tcPr>
            <w:tcW w:w="1102" w:type="dxa"/>
            <w:vMerge w:val="restart"/>
            <w:noWrap w:val="0"/>
            <w:vAlign w:val="center"/>
          </w:tcPr>
          <w:p w14:paraId="498819FA">
            <w:pPr>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住房公积金</w:t>
            </w:r>
          </w:p>
        </w:tc>
        <w:tc>
          <w:tcPr>
            <w:tcW w:w="1145" w:type="dxa"/>
            <w:vMerge w:val="restart"/>
            <w:noWrap w:val="0"/>
            <w:vAlign w:val="center"/>
          </w:tcPr>
          <w:p w14:paraId="245C73FA">
            <w:pPr>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环境保护税</w:t>
            </w:r>
          </w:p>
        </w:tc>
        <w:tc>
          <w:tcPr>
            <w:tcW w:w="931" w:type="dxa"/>
            <w:vMerge w:val="restart"/>
            <w:noWrap w:val="0"/>
            <w:vAlign w:val="center"/>
          </w:tcPr>
          <w:p w14:paraId="7CC1F6F1">
            <w:pPr>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税金</w:t>
            </w:r>
          </w:p>
        </w:tc>
        <w:tc>
          <w:tcPr>
            <w:tcW w:w="3846" w:type="dxa"/>
            <w:gridSpan w:val="3"/>
            <w:noWrap w:val="0"/>
            <w:vAlign w:val="center"/>
          </w:tcPr>
          <w:p w14:paraId="2F21D482">
            <w:pPr>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现场安全文明施工</w:t>
            </w:r>
          </w:p>
        </w:tc>
      </w:tr>
      <w:tr w14:paraId="4F30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056" w:type="dxa"/>
            <w:vMerge w:val="continue"/>
            <w:noWrap w:val="0"/>
            <w:vAlign w:val="center"/>
          </w:tcPr>
          <w:p w14:paraId="7451F107">
            <w:pPr>
              <w:spacing w:after="0" w:line="276" w:lineRule="auto"/>
              <w:jc w:val="center"/>
              <w:rPr>
                <w:rFonts w:hint="eastAsia" w:ascii="楷体" w:hAnsi="楷体" w:eastAsia="楷体" w:cs="楷体"/>
                <w:color w:val="auto"/>
                <w:sz w:val="28"/>
                <w:szCs w:val="28"/>
                <w:highlight w:val="none"/>
              </w:rPr>
            </w:pPr>
          </w:p>
        </w:tc>
        <w:tc>
          <w:tcPr>
            <w:tcW w:w="1117" w:type="dxa"/>
            <w:vMerge w:val="continue"/>
            <w:noWrap w:val="0"/>
            <w:vAlign w:val="center"/>
          </w:tcPr>
          <w:p w14:paraId="69EB51C3">
            <w:pPr>
              <w:spacing w:after="0" w:line="276" w:lineRule="auto"/>
              <w:jc w:val="center"/>
              <w:rPr>
                <w:rFonts w:hint="eastAsia" w:ascii="楷体" w:hAnsi="楷体" w:eastAsia="楷体" w:cs="楷体"/>
                <w:color w:val="auto"/>
                <w:sz w:val="28"/>
                <w:szCs w:val="28"/>
                <w:highlight w:val="none"/>
              </w:rPr>
            </w:pPr>
          </w:p>
        </w:tc>
        <w:tc>
          <w:tcPr>
            <w:tcW w:w="1102" w:type="dxa"/>
            <w:vMerge w:val="continue"/>
            <w:noWrap w:val="0"/>
            <w:vAlign w:val="center"/>
          </w:tcPr>
          <w:p w14:paraId="6E65780F">
            <w:pPr>
              <w:spacing w:after="0" w:line="276" w:lineRule="auto"/>
              <w:jc w:val="center"/>
              <w:rPr>
                <w:rFonts w:hint="eastAsia" w:ascii="楷体" w:hAnsi="楷体" w:eastAsia="楷体" w:cs="楷体"/>
                <w:color w:val="auto"/>
                <w:sz w:val="28"/>
                <w:szCs w:val="28"/>
                <w:highlight w:val="none"/>
              </w:rPr>
            </w:pPr>
          </w:p>
        </w:tc>
        <w:tc>
          <w:tcPr>
            <w:tcW w:w="1145" w:type="dxa"/>
            <w:vMerge w:val="continue"/>
            <w:noWrap w:val="0"/>
            <w:vAlign w:val="center"/>
          </w:tcPr>
          <w:p w14:paraId="4BF07EBF">
            <w:pPr>
              <w:spacing w:after="0" w:line="276" w:lineRule="auto"/>
              <w:jc w:val="center"/>
              <w:rPr>
                <w:rFonts w:hint="eastAsia" w:ascii="楷体" w:hAnsi="楷体" w:eastAsia="楷体" w:cs="楷体"/>
                <w:color w:val="auto"/>
                <w:sz w:val="28"/>
                <w:szCs w:val="28"/>
                <w:highlight w:val="none"/>
              </w:rPr>
            </w:pPr>
          </w:p>
        </w:tc>
        <w:tc>
          <w:tcPr>
            <w:tcW w:w="931" w:type="dxa"/>
            <w:vMerge w:val="continue"/>
            <w:noWrap w:val="0"/>
            <w:vAlign w:val="center"/>
          </w:tcPr>
          <w:p w14:paraId="5A1C7AE9">
            <w:pPr>
              <w:spacing w:after="0" w:line="276" w:lineRule="auto"/>
              <w:jc w:val="center"/>
              <w:rPr>
                <w:rFonts w:hint="eastAsia" w:ascii="楷体" w:hAnsi="楷体" w:eastAsia="楷体" w:cs="楷体"/>
                <w:color w:val="auto"/>
                <w:sz w:val="28"/>
                <w:szCs w:val="28"/>
                <w:highlight w:val="none"/>
              </w:rPr>
            </w:pPr>
          </w:p>
        </w:tc>
        <w:tc>
          <w:tcPr>
            <w:tcW w:w="1074" w:type="dxa"/>
            <w:noWrap w:val="0"/>
            <w:vAlign w:val="center"/>
          </w:tcPr>
          <w:p w14:paraId="2EAEBC3F">
            <w:pPr>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基本费</w:t>
            </w:r>
          </w:p>
        </w:tc>
        <w:tc>
          <w:tcPr>
            <w:tcW w:w="1067" w:type="dxa"/>
            <w:noWrap w:val="0"/>
            <w:vAlign w:val="center"/>
          </w:tcPr>
          <w:p w14:paraId="24EBFE82">
            <w:pPr>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增加费</w:t>
            </w:r>
          </w:p>
        </w:tc>
        <w:tc>
          <w:tcPr>
            <w:tcW w:w="1705" w:type="dxa"/>
            <w:noWrap w:val="0"/>
            <w:vAlign w:val="center"/>
          </w:tcPr>
          <w:p w14:paraId="1FB95447">
            <w:pPr>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扬尘污染防治增加费</w:t>
            </w:r>
          </w:p>
        </w:tc>
      </w:tr>
      <w:tr w14:paraId="0D37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056" w:type="dxa"/>
            <w:noWrap w:val="0"/>
            <w:vAlign w:val="center"/>
          </w:tcPr>
          <w:p w14:paraId="590F410C">
            <w:pPr>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装修</w:t>
            </w:r>
            <w:r>
              <w:rPr>
                <w:rFonts w:hint="eastAsia" w:ascii="楷体" w:hAnsi="楷体" w:eastAsia="楷体" w:cs="楷体"/>
                <w:color w:val="auto"/>
                <w:sz w:val="28"/>
                <w:szCs w:val="28"/>
                <w:highlight w:val="none"/>
              </w:rPr>
              <w:t>工程</w:t>
            </w:r>
          </w:p>
        </w:tc>
        <w:tc>
          <w:tcPr>
            <w:tcW w:w="1117" w:type="dxa"/>
            <w:noWrap w:val="0"/>
            <w:vAlign w:val="center"/>
          </w:tcPr>
          <w:p w14:paraId="03ED17F9">
            <w:pPr>
              <w:spacing w:after="0" w:line="276" w:lineRule="auto"/>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2.4</w:t>
            </w:r>
          </w:p>
        </w:tc>
        <w:tc>
          <w:tcPr>
            <w:tcW w:w="1102" w:type="dxa"/>
            <w:noWrap w:val="0"/>
            <w:vAlign w:val="center"/>
          </w:tcPr>
          <w:p w14:paraId="4F4A4B3D">
            <w:pPr>
              <w:spacing w:after="0" w:line="276" w:lineRule="auto"/>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0.42</w:t>
            </w:r>
          </w:p>
        </w:tc>
        <w:tc>
          <w:tcPr>
            <w:tcW w:w="1145" w:type="dxa"/>
            <w:noWrap w:val="0"/>
            <w:vAlign w:val="center"/>
          </w:tcPr>
          <w:p w14:paraId="6636BF9C">
            <w:pPr>
              <w:spacing w:after="0" w:line="276" w:lineRule="auto"/>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0.1</w:t>
            </w:r>
          </w:p>
        </w:tc>
        <w:tc>
          <w:tcPr>
            <w:tcW w:w="931" w:type="dxa"/>
            <w:noWrap w:val="0"/>
            <w:vAlign w:val="center"/>
          </w:tcPr>
          <w:p w14:paraId="02B2C642">
            <w:pPr>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9</w:t>
            </w:r>
          </w:p>
        </w:tc>
        <w:tc>
          <w:tcPr>
            <w:tcW w:w="1074" w:type="dxa"/>
            <w:noWrap w:val="0"/>
            <w:vAlign w:val="center"/>
          </w:tcPr>
          <w:p w14:paraId="7A72244C">
            <w:pPr>
              <w:spacing w:after="0" w:line="276" w:lineRule="auto"/>
              <w:jc w:val="center"/>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1.</w:t>
            </w:r>
            <w:r>
              <w:rPr>
                <w:rFonts w:hint="eastAsia" w:ascii="楷体" w:hAnsi="楷体" w:eastAsia="楷体" w:cs="楷体"/>
                <w:color w:val="auto"/>
                <w:sz w:val="28"/>
                <w:szCs w:val="28"/>
                <w:highlight w:val="none"/>
                <w:lang w:val="en-US" w:eastAsia="zh-CN"/>
              </w:rPr>
              <w:t>7</w:t>
            </w:r>
          </w:p>
        </w:tc>
        <w:tc>
          <w:tcPr>
            <w:tcW w:w="1067" w:type="dxa"/>
            <w:noWrap w:val="0"/>
            <w:vAlign w:val="center"/>
          </w:tcPr>
          <w:p w14:paraId="38D540CC">
            <w:pPr>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w:t>
            </w:r>
          </w:p>
        </w:tc>
        <w:tc>
          <w:tcPr>
            <w:tcW w:w="1705" w:type="dxa"/>
            <w:noWrap w:val="0"/>
            <w:vAlign w:val="center"/>
          </w:tcPr>
          <w:p w14:paraId="5F2E7F22">
            <w:pPr>
              <w:spacing w:after="0" w:line="276" w:lineRule="auto"/>
              <w:jc w:val="center"/>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0.2</w:t>
            </w:r>
            <w:r>
              <w:rPr>
                <w:rFonts w:hint="eastAsia" w:ascii="楷体" w:hAnsi="楷体" w:eastAsia="楷体" w:cs="楷体"/>
                <w:color w:val="auto"/>
                <w:sz w:val="28"/>
                <w:szCs w:val="28"/>
                <w:highlight w:val="none"/>
                <w:lang w:val="en-US" w:eastAsia="zh-CN"/>
              </w:rPr>
              <w:t>2</w:t>
            </w:r>
          </w:p>
        </w:tc>
      </w:tr>
      <w:tr w14:paraId="6D28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056" w:type="dxa"/>
            <w:noWrap w:val="0"/>
            <w:vAlign w:val="center"/>
          </w:tcPr>
          <w:p w14:paraId="1730A6D0">
            <w:pPr>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安装</w:t>
            </w:r>
            <w:r>
              <w:rPr>
                <w:rFonts w:hint="eastAsia" w:ascii="楷体" w:hAnsi="楷体" w:eastAsia="楷体" w:cs="楷体"/>
                <w:color w:val="auto"/>
                <w:sz w:val="28"/>
                <w:szCs w:val="28"/>
                <w:highlight w:val="none"/>
              </w:rPr>
              <w:t>工程</w:t>
            </w:r>
          </w:p>
        </w:tc>
        <w:tc>
          <w:tcPr>
            <w:tcW w:w="1117" w:type="dxa"/>
            <w:noWrap w:val="0"/>
            <w:vAlign w:val="center"/>
          </w:tcPr>
          <w:p w14:paraId="6C65E445">
            <w:pPr>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2.4</w:t>
            </w:r>
          </w:p>
        </w:tc>
        <w:tc>
          <w:tcPr>
            <w:tcW w:w="1102" w:type="dxa"/>
            <w:noWrap w:val="0"/>
            <w:vAlign w:val="center"/>
          </w:tcPr>
          <w:p w14:paraId="44C16AF3">
            <w:pPr>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0.42</w:t>
            </w:r>
          </w:p>
        </w:tc>
        <w:tc>
          <w:tcPr>
            <w:tcW w:w="1145" w:type="dxa"/>
            <w:noWrap w:val="0"/>
            <w:vAlign w:val="center"/>
          </w:tcPr>
          <w:p w14:paraId="6229895B">
            <w:pPr>
              <w:spacing w:after="0" w:line="276" w:lineRule="auto"/>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0.1</w:t>
            </w:r>
          </w:p>
        </w:tc>
        <w:tc>
          <w:tcPr>
            <w:tcW w:w="931" w:type="dxa"/>
            <w:noWrap w:val="0"/>
            <w:vAlign w:val="center"/>
          </w:tcPr>
          <w:p w14:paraId="62937AE6">
            <w:pPr>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9</w:t>
            </w:r>
          </w:p>
        </w:tc>
        <w:tc>
          <w:tcPr>
            <w:tcW w:w="1074" w:type="dxa"/>
            <w:noWrap w:val="0"/>
            <w:vAlign w:val="center"/>
          </w:tcPr>
          <w:p w14:paraId="562A3C78">
            <w:pPr>
              <w:spacing w:after="0" w:line="276" w:lineRule="auto"/>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1.5</w:t>
            </w:r>
          </w:p>
        </w:tc>
        <w:tc>
          <w:tcPr>
            <w:tcW w:w="1067" w:type="dxa"/>
            <w:noWrap w:val="0"/>
            <w:vAlign w:val="center"/>
          </w:tcPr>
          <w:p w14:paraId="7AF5B150">
            <w:pPr>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w:t>
            </w:r>
          </w:p>
        </w:tc>
        <w:tc>
          <w:tcPr>
            <w:tcW w:w="1705" w:type="dxa"/>
            <w:noWrap w:val="0"/>
            <w:vAlign w:val="center"/>
          </w:tcPr>
          <w:p w14:paraId="02A3AC6E">
            <w:pPr>
              <w:spacing w:after="0" w:line="276" w:lineRule="auto"/>
              <w:jc w:val="center"/>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0.2</w:t>
            </w:r>
            <w:r>
              <w:rPr>
                <w:rFonts w:hint="eastAsia" w:ascii="楷体" w:hAnsi="楷体" w:eastAsia="楷体" w:cs="楷体"/>
                <w:color w:val="auto"/>
                <w:sz w:val="28"/>
                <w:szCs w:val="28"/>
                <w:highlight w:val="none"/>
                <w:lang w:val="en-US" w:eastAsia="zh-CN"/>
              </w:rPr>
              <w:t>1</w:t>
            </w:r>
          </w:p>
        </w:tc>
      </w:tr>
      <w:tr w14:paraId="298D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056" w:type="dxa"/>
            <w:noWrap w:val="0"/>
            <w:vAlign w:val="center"/>
          </w:tcPr>
          <w:p w14:paraId="134A4BAE">
            <w:pPr>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智能化设备</w:t>
            </w:r>
            <w:r>
              <w:rPr>
                <w:rFonts w:hint="eastAsia" w:ascii="楷体" w:hAnsi="楷体" w:eastAsia="楷体" w:cs="楷体"/>
                <w:color w:val="auto"/>
                <w:sz w:val="28"/>
                <w:szCs w:val="28"/>
                <w:highlight w:val="none"/>
              </w:rPr>
              <w:t>工程</w:t>
            </w:r>
          </w:p>
        </w:tc>
        <w:tc>
          <w:tcPr>
            <w:tcW w:w="1117" w:type="dxa"/>
            <w:noWrap w:val="0"/>
            <w:vAlign w:val="center"/>
          </w:tcPr>
          <w:p w14:paraId="4F6B7482">
            <w:pPr>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2.4</w:t>
            </w:r>
          </w:p>
        </w:tc>
        <w:tc>
          <w:tcPr>
            <w:tcW w:w="1102" w:type="dxa"/>
            <w:noWrap w:val="0"/>
            <w:vAlign w:val="center"/>
          </w:tcPr>
          <w:p w14:paraId="49549DEC">
            <w:pPr>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0.42</w:t>
            </w:r>
          </w:p>
        </w:tc>
        <w:tc>
          <w:tcPr>
            <w:tcW w:w="1145" w:type="dxa"/>
            <w:noWrap w:val="0"/>
            <w:vAlign w:val="center"/>
          </w:tcPr>
          <w:p w14:paraId="200E2630">
            <w:pPr>
              <w:spacing w:after="0" w:line="276" w:lineRule="auto"/>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0.1</w:t>
            </w:r>
          </w:p>
        </w:tc>
        <w:tc>
          <w:tcPr>
            <w:tcW w:w="931" w:type="dxa"/>
            <w:noWrap w:val="0"/>
            <w:vAlign w:val="center"/>
          </w:tcPr>
          <w:p w14:paraId="51D646CE">
            <w:pPr>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9</w:t>
            </w:r>
          </w:p>
        </w:tc>
        <w:tc>
          <w:tcPr>
            <w:tcW w:w="1074" w:type="dxa"/>
            <w:noWrap w:val="0"/>
            <w:vAlign w:val="center"/>
          </w:tcPr>
          <w:p w14:paraId="61CEDE82">
            <w:pPr>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1.5</w:t>
            </w:r>
          </w:p>
        </w:tc>
        <w:tc>
          <w:tcPr>
            <w:tcW w:w="1067" w:type="dxa"/>
            <w:noWrap w:val="0"/>
            <w:vAlign w:val="center"/>
          </w:tcPr>
          <w:p w14:paraId="2BC1CF64">
            <w:pPr>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w:t>
            </w:r>
          </w:p>
        </w:tc>
        <w:tc>
          <w:tcPr>
            <w:tcW w:w="1705" w:type="dxa"/>
            <w:noWrap w:val="0"/>
            <w:vAlign w:val="center"/>
          </w:tcPr>
          <w:p w14:paraId="682E8F8D">
            <w:pPr>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0.21</w:t>
            </w:r>
          </w:p>
        </w:tc>
      </w:tr>
    </w:tbl>
    <w:p w14:paraId="640C01AE">
      <w:pPr>
        <w:spacing w:line="360" w:lineRule="auto"/>
        <w:ind w:firstLine="560"/>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不计安全文明施工费增加费、不计环境保护税。</w:t>
      </w:r>
    </w:p>
    <w:p w14:paraId="75F49817">
      <w:pPr>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三、材料价格取定</w:t>
      </w:r>
    </w:p>
    <w:p w14:paraId="0E9E9938">
      <w:pPr>
        <w:spacing w:line="360" w:lineRule="auto"/>
        <w:ind w:firstLine="560"/>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材料价格参见2025年第10期镇江市工程造价信息，信息价上没有的材料价格结合市场价与市场波动因素综合考虑；智能化设备价格通过市场询价确定，请投标方自行报价。</w:t>
      </w:r>
    </w:p>
    <w:p w14:paraId="03D42846">
      <w:pPr>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四、措施项目费</w:t>
      </w:r>
    </w:p>
    <w:p w14:paraId="5EFDCC5D">
      <w:pPr>
        <w:spacing w:line="360" w:lineRule="auto"/>
        <w:ind w:firstLine="560"/>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各投标单位应结合工程实际、工期、设计要求和投标单位的施工组织设计、施工方案等综合考虑一切可见和不可见因素，相关的费用均视为已含在措施费用或报价中，竣工结算时不再调整和增加相关费用。</w:t>
      </w:r>
    </w:p>
    <w:p w14:paraId="6B321353">
      <w:pPr>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五、其他</w:t>
      </w:r>
    </w:p>
    <w:p w14:paraId="7C5910CA">
      <w:pPr>
        <w:spacing w:line="360" w:lineRule="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1、说明与设计图纸有矛盾的，暂以清单描述为准，但应满足施工规范的相关要求。本工程的工程量为暂估量，竣工结算时按实调整。</w:t>
      </w:r>
    </w:p>
    <w:p w14:paraId="4A4198AE">
      <w:pPr>
        <w:spacing w:line="360" w:lineRule="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2、连廊及拆除改造维修、修补暂估6万；连廊柱与原有墙体处理等修补暂估2万；安装利旧维修 、翻新1.5万。</w:t>
      </w:r>
    </w:p>
    <w:p w14:paraId="1B4B72BC">
      <w:pPr>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六、工程作品：</w:t>
      </w:r>
    </w:p>
    <w:p w14:paraId="69066A26">
      <w:pPr>
        <w:spacing w:line="360" w:lineRule="auto"/>
        <w:ind w:firstLine="560"/>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 xml:space="preserve">具体详见图纸和清单特征说明。 </w:t>
      </w:r>
    </w:p>
    <w:p w14:paraId="33929D0B">
      <w:pPr>
        <w:keepNext w:val="0"/>
        <w:keepLines w:val="0"/>
        <w:pageBreakBefore w:val="0"/>
        <w:widowControl w:val="0"/>
        <w:spacing w:line="360" w:lineRule="auto"/>
        <w:ind w:left="0"/>
        <w:rPr>
          <w:rFonts w:hint="default"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七、服务要求</w:t>
      </w:r>
    </w:p>
    <w:p w14:paraId="472FFB03">
      <w:pPr>
        <w:keepNext w:val="0"/>
        <w:keepLines w:val="0"/>
        <w:pageBreakBefore w:val="0"/>
        <w:widowControl w:val="0"/>
        <w:spacing w:line="360" w:lineRule="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1、供应商须在响应磋商文件前进行现场踏勘。</w:t>
      </w:r>
    </w:p>
    <w:p w14:paraId="739FAF69">
      <w:pPr>
        <w:keepNext w:val="0"/>
        <w:keepLines w:val="0"/>
        <w:pageBreakBefore w:val="0"/>
        <w:widowControl w:val="0"/>
        <w:spacing w:line="360" w:lineRule="auto"/>
        <w:rPr>
          <w:rFonts w:hint="eastAsia" w:ascii="楷体" w:hAnsi="楷体" w:eastAsia="楷体" w:cs="楷体"/>
          <w:bCs/>
          <w:color w:val="auto"/>
          <w:sz w:val="28"/>
          <w:szCs w:val="28"/>
          <w:highlight w:val="none"/>
        </w:rPr>
      </w:pP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、本工程质量应达到最新国家质量评定合格标准。</w:t>
      </w:r>
      <w:r>
        <w:rPr>
          <w:rFonts w:hint="eastAsia" w:ascii="楷体" w:hAnsi="楷体" w:eastAsia="楷体" w:cs="楷体"/>
          <w:bCs/>
          <w:color w:val="auto"/>
          <w:sz w:val="28"/>
          <w:szCs w:val="28"/>
          <w:highlight w:val="none"/>
        </w:rPr>
        <w:t>所供的项目服务必须遵守国家颁布标准和有关规定。</w:t>
      </w:r>
    </w:p>
    <w:p w14:paraId="729DD20C">
      <w:pPr>
        <w:keepNext w:val="0"/>
        <w:keepLines w:val="0"/>
        <w:pageBreakBefore w:val="0"/>
        <w:widowControl w:val="0"/>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eastAsia="zh-CN"/>
        </w:rPr>
        <w:t>成交供应商</w:t>
      </w:r>
      <w:r>
        <w:rPr>
          <w:rFonts w:hint="eastAsia" w:ascii="楷体" w:hAnsi="楷体" w:eastAsia="楷体" w:cs="楷体"/>
          <w:color w:val="auto"/>
          <w:sz w:val="28"/>
          <w:szCs w:val="28"/>
          <w:highlight w:val="none"/>
        </w:rPr>
        <w:t>的项目经理必须每天要在现场全面负责本项目的施工。</w:t>
      </w:r>
    </w:p>
    <w:p w14:paraId="3DD1ABAF">
      <w:pPr>
        <w:keepNext w:val="0"/>
        <w:keepLines w:val="0"/>
        <w:pageBreakBefore w:val="0"/>
        <w:widowControl w:val="0"/>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4</w:t>
      </w:r>
      <w:r>
        <w:rPr>
          <w:rFonts w:hint="eastAsia" w:ascii="楷体" w:hAnsi="楷体" w:eastAsia="楷体" w:cs="楷体"/>
          <w:color w:val="auto"/>
          <w:sz w:val="28"/>
          <w:szCs w:val="28"/>
          <w:highlight w:val="none"/>
        </w:rPr>
        <w:t>、在免费质保期内，供应商须对由于工程本身质量原因造成的任何缺损进行免费修补或更换。</w:t>
      </w:r>
    </w:p>
    <w:p w14:paraId="175C5FB2">
      <w:pPr>
        <w:keepNext w:val="0"/>
        <w:keepLines w:val="0"/>
        <w:pageBreakBefore w:val="0"/>
        <w:widowControl w:val="0"/>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5</w:t>
      </w:r>
      <w:r>
        <w:rPr>
          <w:rFonts w:hint="eastAsia" w:ascii="楷体" w:hAnsi="楷体" w:eastAsia="楷体" w:cs="楷体"/>
          <w:color w:val="auto"/>
          <w:sz w:val="28"/>
          <w:szCs w:val="28"/>
          <w:highlight w:val="none"/>
        </w:rPr>
        <w:t>、双方应及时办理隐蔽工程和中间工程的检查与验收手续。</w:t>
      </w:r>
      <w:r>
        <w:rPr>
          <w:rFonts w:hint="eastAsia" w:ascii="楷体" w:hAnsi="楷体" w:eastAsia="楷体" w:cs="楷体"/>
          <w:color w:val="auto"/>
          <w:sz w:val="28"/>
          <w:szCs w:val="28"/>
          <w:highlight w:val="none"/>
          <w:lang w:eastAsia="zh-CN"/>
        </w:rPr>
        <w:t>采购人</w:t>
      </w:r>
      <w:r>
        <w:rPr>
          <w:rFonts w:hint="eastAsia" w:ascii="楷体" w:hAnsi="楷体" w:eastAsia="楷体" w:cs="楷体"/>
          <w:color w:val="auto"/>
          <w:sz w:val="28"/>
          <w:szCs w:val="28"/>
          <w:highlight w:val="none"/>
        </w:rPr>
        <w:t>不按时参加隐蔽工程和中间工程验收，</w:t>
      </w:r>
      <w:r>
        <w:rPr>
          <w:rFonts w:hint="eastAsia" w:ascii="楷体" w:hAnsi="楷体" w:eastAsia="楷体" w:cs="楷体"/>
          <w:color w:val="auto"/>
          <w:sz w:val="28"/>
          <w:szCs w:val="28"/>
          <w:highlight w:val="none"/>
          <w:lang w:eastAsia="zh-CN"/>
        </w:rPr>
        <w:t>成交供应商</w:t>
      </w:r>
      <w:r>
        <w:rPr>
          <w:rFonts w:hint="eastAsia" w:ascii="楷体" w:hAnsi="楷体" w:eastAsia="楷体" w:cs="楷体"/>
          <w:color w:val="auto"/>
          <w:sz w:val="28"/>
          <w:szCs w:val="28"/>
          <w:highlight w:val="none"/>
        </w:rPr>
        <w:t>可自行验收，</w:t>
      </w:r>
      <w:r>
        <w:rPr>
          <w:rFonts w:hint="eastAsia" w:ascii="楷体" w:hAnsi="楷体" w:eastAsia="楷体" w:cs="楷体"/>
          <w:color w:val="auto"/>
          <w:sz w:val="28"/>
          <w:szCs w:val="28"/>
          <w:highlight w:val="none"/>
          <w:lang w:eastAsia="zh-CN"/>
        </w:rPr>
        <w:t>采购人</w:t>
      </w:r>
      <w:r>
        <w:rPr>
          <w:rFonts w:hint="eastAsia" w:ascii="楷体" w:hAnsi="楷体" w:eastAsia="楷体" w:cs="楷体"/>
          <w:color w:val="auto"/>
          <w:sz w:val="28"/>
          <w:szCs w:val="28"/>
          <w:highlight w:val="none"/>
        </w:rPr>
        <w:t>应予承认。若</w:t>
      </w:r>
      <w:r>
        <w:rPr>
          <w:rFonts w:hint="eastAsia" w:ascii="楷体" w:hAnsi="楷体" w:eastAsia="楷体" w:cs="楷体"/>
          <w:color w:val="auto"/>
          <w:sz w:val="28"/>
          <w:szCs w:val="28"/>
          <w:highlight w:val="none"/>
          <w:lang w:eastAsia="zh-CN"/>
        </w:rPr>
        <w:t>采购人</w:t>
      </w:r>
      <w:r>
        <w:rPr>
          <w:rFonts w:hint="eastAsia" w:ascii="楷体" w:hAnsi="楷体" w:eastAsia="楷体" w:cs="楷体"/>
          <w:color w:val="auto"/>
          <w:sz w:val="28"/>
          <w:szCs w:val="28"/>
          <w:highlight w:val="none"/>
        </w:rPr>
        <w:t>要求复验，</w:t>
      </w:r>
      <w:r>
        <w:rPr>
          <w:rFonts w:hint="eastAsia" w:ascii="楷体" w:hAnsi="楷体" w:eastAsia="楷体" w:cs="楷体"/>
          <w:color w:val="auto"/>
          <w:sz w:val="28"/>
          <w:szCs w:val="28"/>
          <w:highlight w:val="none"/>
          <w:lang w:eastAsia="zh-CN"/>
        </w:rPr>
        <w:t>成交供应商</w:t>
      </w:r>
      <w:r>
        <w:rPr>
          <w:rFonts w:hint="eastAsia" w:ascii="楷体" w:hAnsi="楷体" w:eastAsia="楷体" w:cs="楷体"/>
          <w:color w:val="auto"/>
          <w:sz w:val="28"/>
          <w:szCs w:val="28"/>
          <w:highlight w:val="none"/>
        </w:rPr>
        <w:t>应按要求办理复验。若复验合格，</w:t>
      </w:r>
      <w:r>
        <w:rPr>
          <w:rFonts w:hint="eastAsia" w:ascii="楷体" w:hAnsi="楷体" w:eastAsia="楷体" w:cs="楷体"/>
          <w:color w:val="auto"/>
          <w:sz w:val="28"/>
          <w:szCs w:val="28"/>
          <w:highlight w:val="none"/>
          <w:lang w:eastAsia="zh-CN"/>
        </w:rPr>
        <w:t>采购人</w:t>
      </w:r>
      <w:r>
        <w:rPr>
          <w:rFonts w:hint="eastAsia" w:ascii="楷体" w:hAnsi="楷体" w:eastAsia="楷体" w:cs="楷体"/>
          <w:color w:val="auto"/>
          <w:sz w:val="28"/>
          <w:szCs w:val="28"/>
          <w:highlight w:val="none"/>
        </w:rPr>
        <w:t>应承担复验费用由此造成停工，工期顺延；若复验不合格，其复验及返工费用由</w:t>
      </w:r>
      <w:r>
        <w:rPr>
          <w:rFonts w:hint="eastAsia" w:ascii="楷体" w:hAnsi="楷体" w:eastAsia="楷体" w:cs="楷体"/>
          <w:color w:val="auto"/>
          <w:sz w:val="28"/>
          <w:szCs w:val="28"/>
          <w:highlight w:val="none"/>
          <w:lang w:eastAsia="zh-CN"/>
        </w:rPr>
        <w:t>成交供应商</w:t>
      </w:r>
      <w:r>
        <w:rPr>
          <w:rFonts w:hint="eastAsia" w:ascii="楷体" w:hAnsi="楷体" w:eastAsia="楷体" w:cs="楷体"/>
          <w:color w:val="auto"/>
          <w:sz w:val="28"/>
          <w:szCs w:val="28"/>
          <w:highlight w:val="none"/>
        </w:rPr>
        <w:t>承担，但工期也予顺延。</w:t>
      </w:r>
      <w:r>
        <w:rPr>
          <w:rFonts w:hint="eastAsia" w:ascii="楷体" w:hAnsi="楷体" w:eastAsia="楷体" w:cs="楷体"/>
          <w:bCs/>
          <w:color w:val="auto"/>
          <w:sz w:val="28"/>
          <w:szCs w:val="28"/>
          <w:highlight w:val="none"/>
        </w:rPr>
        <w:t>须按采购人要求项目的所有工作内容在规定的时间内实施完毕。</w:t>
      </w:r>
    </w:p>
    <w:p w14:paraId="787D5ACB">
      <w:pPr>
        <w:keepNext w:val="0"/>
        <w:keepLines w:val="0"/>
        <w:pageBreakBefore w:val="0"/>
        <w:widowControl w:val="0"/>
        <w:tabs>
          <w:tab w:val="left" w:pos="0"/>
        </w:tabs>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6</w:t>
      </w:r>
      <w:r>
        <w:rPr>
          <w:rFonts w:hint="eastAsia" w:ascii="楷体" w:hAnsi="楷体" w:eastAsia="楷体" w:cs="楷体"/>
          <w:color w:val="auto"/>
          <w:sz w:val="28"/>
          <w:szCs w:val="28"/>
          <w:highlight w:val="none"/>
        </w:rPr>
        <w:t>、由于</w:t>
      </w:r>
      <w:r>
        <w:rPr>
          <w:rFonts w:hint="eastAsia" w:ascii="楷体" w:hAnsi="楷体" w:eastAsia="楷体" w:cs="楷体"/>
          <w:color w:val="auto"/>
          <w:sz w:val="28"/>
          <w:szCs w:val="28"/>
          <w:highlight w:val="none"/>
          <w:lang w:eastAsia="zh-CN"/>
        </w:rPr>
        <w:t>成交供应商</w:t>
      </w:r>
      <w:r>
        <w:rPr>
          <w:rFonts w:hint="eastAsia" w:ascii="楷体" w:hAnsi="楷体" w:eastAsia="楷体" w:cs="楷体"/>
          <w:color w:val="auto"/>
          <w:sz w:val="28"/>
          <w:szCs w:val="28"/>
          <w:highlight w:val="none"/>
        </w:rPr>
        <w:t>原因造成质量事故，其返工费用由</w:t>
      </w:r>
      <w:r>
        <w:rPr>
          <w:rFonts w:hint="eastAsia" w:ascii="楷体" w:hAnsi="楷体" w:eastAsia="楷体" w:cs="楷体"/>
          <w:color w:val="auto"/>
          <w:sz w:val="28"/>
          <w:szCs w:val="28"/>
          <w:highlight w:val="none"/>
          <w:lang w:eastAsia="zh-CN"/>
        </w:rPr>
        <w:t>成交供应商</w:t>
      </w:r>
      <w:r>
        <w:rPr>
          <w:rFonts w:hint="eastAsia" w:ascii="楷体" w:hAnsi="楷体" w:eastAsia="楷体" w:cs="楷体"/>
          <w:color w:val="auto"/>
          <w:sz w:val="28"/>
          <w:szCs w:val="28"/>
          <w:highlight w:val="none"/>
        </w:rPr>
        <w:t>承担，工期不顺延。</w:t>
      </w:r>
    </w:p>
    <w:p w14:paraId="7E8D26CC">
      <w:pPr>
        <w:keepNext w:val="0"/>
        <w:keepLines w:val="0"/>
        <w:pageBreakBefore w:val="0"/>
        <w:widowControl w:val="0"/>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7</w:t>
      </w:r>
      <w:r>
        <w:rPr>
          <w:rFonts w:hint="eastAsia" w:ascii="楷体" w:hAnsi="楷体" w:eastAsia="楷体" w:cs="楷体"/>
          <w:color w:val="auto"/>
          <w:sz w:val="28"/>
          <w:szCs w:val="28"/>
          <w:highlight w:val="none"/>
        </w:rPr>
        <w:t>、工程竣工后，</w:t>
      </w:r>
      <w:r>
        <w:rPr>
          <w:rFonts w:hint="eastAsia" w:ascii="楷体" w:hAnsi="楷体" w:eastAsia="楷体" w:cs="楷体"/>
          <w:color w:val="auto"/>
          <w:sz w:val="28"/>
          <w:szCs w:val="28"/>
          <w:highlight w:val="none"/>
          <w:lang w:eastAsia="zh-CN"/>
        </w:rPr>
        <w:t>成交供应商</w:t>
      </w:r>
      <w:r>
        <w:rPr>
          <w:rFonts w:hint="eastAsia" w:ascii="楷体" w:hAnsi="楷体" w:eastAsia="楷体" w:cs="楷体"/>
          <w:color w:val="auto"/>
          <w:sz w:val="28"/>
          <w:szCs w:val="28"/>
          <w:highlight w:val="none"/>
        </w:rPr>
        <w:t>应通知</w:t>
      </w:r>
      <w:r>
        <w:rPr>
          <w:rFonts w:hint="eastAsia" w:ascii="楷体" w:hAnsi="楷体" w:eastAsia="楷体" w:cs="楷体"/>
          <w:color w:val="auto"/>
          <w:sz w:val="28"/>
          <w:szCs w:val="28"/>
          <w:highlight w:val="none"/>
          <w:lang w:eastAsia="zh-CN"/>
        </w:rPr>
        <w:t>采购人</w:t>
      </w:r>
      <w:r>
        <w:rPr>
          <w:rFonts w:hint="eastAsia" w:ascii="楷体" w:hAnsi="楷体" w:eastAsia="楷体" w:cs="楷体"/>
          <w:color w:val="auto"/>
          <w:sz w:val="28"/>
          <w:szCs w:val="28"/>
          <w:highlight w:val="none"/>
        </w:rPr>
        <w:t>验收，</w:t>
      </w:r>
      <w:r>
        <w:rPr>
          <w:rFonts w:hint="eastAsia" w:ascii="楷体" w:hAnsi="楷体" w:eastAsia="楷体" w:cs="楷体"/>
          <w:color w:val="auto"/>
          <w:sz w:val="28"/>
          <w:szCs w:val="28"/>
          <w:highlight w:val="none"/>
          <w:lang w:eastAsia="zh-CN"/>
        </w:rPr>
        <w:t>采购人</w:t>
      </w:r>
      <w:r>
        <w:rPr>
          <w:rFonts w:hint="eastAsia" w:ascii="楷体" w:hAnsi="楷体" w:eastAsia="楷体" w:cs="楷体"/>
          <w:color w:val="auto"/>
          <w:sz w:val="28"/>
          <w:szCs w:val="28"/>
          <w:highlight w:val="none"/>
        </w:rPr>
        <w:t>自接到验收通知</w:t>
      </w:r>
      <w:r>
        <w:rPr>
          <w:rFonts w:hint="eastAsia" w:ascii="楷体" w:hAnsi="楷体" w:eastAsia="楷体" w:cs="楷体"/>
          <w:color w:val="auto"/>
          <w:sz w:val="28"/>
          <w:szCs w:val="28"/>
          <w:highlight w:val="none"/>
          <w:u w:val="single"/>
        </w:rPr>
        <w:t xml:space="preserve"> 15 </w:t>
      </w:r>
      <w:r>
        <w:rPr>
          <w:rFonts w:hint="eastAsia" w:ascii="楷体" w:hAnsi="楷体" w:eastAsia="楷体" w:cs="楷体"/>
          <w:color w:val="auto"/>
          <w:sz w:val="28"/>
          <w:szCs w:val="28"/>
          <w:highlight w:val="none"/>
        </w:rPr>
        <w:t>日内组织验收，并办理验收、移交手续。如</w:t>
      </w:r>
      <w:r>
        <w:rPr>
          <w:rFonts w:hint="eastAsia" w:ascii="楷体" w:hAnsi="楷体" w:eastAsia="楷体" w:cs="楷体"/>
          <w:color w:val="auto"/>
          <w:sz w:val="28"/>
          <w:szCs w:val="28"/>
          <w:highlight w:val="none"/>
          <w:lang w:eastAsia="zh-CN"/>
        </w:rPr>
        <w:t>采购人</w:t>
      </w:r>
      <w:r>
        <w:rPr>
          <w:rFonts w:hint="eastAsia" w:ascii="楷体" w:hAnsi="楷体" w:eastAsia="楷体" w:cs="楷体"/>
          <w:color w:val="auto"/>
          <w:sz w:val="28"/>
          <w:szCs w:val="28"/>
          <w:highlight w:val="none"/>
        </w:rPr>
        <w:t>在规定时间内未能组织验收，需及时通知</w:t>
      </w:r>
      <w:r>
        <w:rPr>
          <w:rFonts w:hint="eastAsia" w:ascii="楷体" w:hAnsi="楷体" w:eastAsia="楷体" w:cs="楷体"/>
          <w:color w:val="auto"/>
          <w:sz w:val="28"/>
          <w:szCs w:val="28"/>
          <w:highlight w:val="none"/>
          <w:lang w:eastAsia="zh-CN"/>
        </w:rPr>
        <w:t>成交供应商</w:t>
      </w:r>
      <w:r>
        <w:rPr>
          <w:rFonts w:hint="eastAsia" w:ascii="楷体" w:hAnsi="楷体" w:eastAsia="楷体" w:cs="楷体"/>
          <w:color w:val="auto"/>
          <w:sz w:val="28"/>
          <w:szCs w:val="28"/>
          <w:highlight w:val="none"/>
        </w:rPr>
        <w:t>，另定验收日期。但</w:t>
      </w:r>
      <w:r>
        <w:rPr>
          <w:rFonts w:hint="eastAsia" w:ascii="楷体" w:hAnsi="楷体" w:eastAsia="楷体" w:cs="楷体"/>
          <w:color w:val="auto"/>
          <w:sz w:val="28"/>
          <w:szCs w:val="28"/>
          <w:highlight w:val="none"/>
          <w:lang w:eastAsia="zh-CN"/>
        </w:rPr>
        <w:t>采购人</w:t>
      </w:r>
      <w:r>
        <w:rPr>
          <w:rFonts w:hint="eastAsia" w:ascii="楷体" w:hAnsi="楷体" w:eastAsia="楷体" w:cs="楷体"/>
          <w:color w:val="auto"/>
          <w:sz w:val="28"/>
          <w:szCs w:val="28"/>
          <w:highlight w:val="none"/>
        </w:rPr>
        <w:t>应承认</w:t>
      </w:r>
      <w:r>
        <w:rPr>
          <w:rFonts w:hint="eastAsia" w:ascii="楷体" w:hAnsi="楷体" w:eastAsia="楷体" w:cs="楷体"/>
          <w:color w:val="auto"/>
          <w:sz w:val="28"/>
          <w:szCs w:val="28"/>
          <w:highlight w:val="none"/>
          <w:lang w:eastAsia="zh-CN"/>
        </w:rPr>
        <w:t>成交供应商</w:t>
      </w:r>
      <w:r>
        <w:rPr>
          <w:rFonts w:hint="eastAsia" w:ascii="楷体" w:hAnsi="楷体" w:eastAsia="楷体" w:cs="楷体"/>
          <w:color w:val="auto"/>
          <w:sz w:val="28"/>
          <w:szCs w:val="28"/>
          <w:highlight w:val="none"/>
        </w:rPr>
        <w:t>竣工日期。</w:t>
      </w:r>
      <w:r>
        <w:rPr>
          <w:rFonts w:hint="eastAsia" w:ascii="楷体" w:hAnsi="楷体" w:eastAsia="楷体" w:cs="楷体"/>
          <w:bCs/>
          <w:color w:val="auto"/>
          <w:sz w:val="28"/>
          <w:szCs w:val="28"/>
          <w:highlight w:val="none"/>
        </w:rPr>
        <w:t>提交项目验收的所需的全部技术资料。</w:t>
      </w:r>
    </w:p>
    <w:p w14:paraId="01B146F6">
      <w:pPr>
        <w:keepNext w:val="0"/>
        <w:keepLines w:val="0"/>
        <w:pageBreakBefore w:val="0"/>
        <w:widowControl w:val="0"/>
        <w:tabs>
          <w:tab w:val="left" w:pos="0"/>
        </w:tabs>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8</w:t>
      </w:r>
      <w:r>
        <w:rPr>
          <w:rFonts w:hint="eastAsia" w:ascii="楷体" w:hAnsi="楷体" w:eastAsia="楷体" w:cs="楷体"/>
          <w:color w:val="auto"/>
          <w:sz w:val="28"/>
          <w:szCs w:val="28"/>
          <w:highlight w:val="none"/>
        </w:rPr>
        <w:t>、本工程应符合国家环保质量要求,否则应承担违约责任并赔偿</w:t>
      </w:r>
      <w:r>
        <w:rPr>
          <w:rFonts w:hint="eastAsia" w:ascii="楷体" w:hAnsi="楷体" w:eastAsia="楷体" w:cs="楷体"/>
          <w:color w:val="auto"/>
          <w:sz w:val="28"/>
          <w:szCs w:val="28"/>
          <w:highlight w:val="none"/>
          <w:lang w:eastAsia="zh-CN"/>
        </w:rPr>
        <w:t>采购人</w:t>
      </w:r>
      <w:r>
        <w:rPr>
          <w:rFonts w:hint="eastAsia" w:ascii="楷体" w:hAnsi="楷体" w:eastAsia="楷体" w:cs="楷体"/>
          <w:color w:val="auto"/>
          <w:sz w:val="28"/>
          <w:szCs w:val="28"/>
          <w:highlight w:val="none"/>
        </w:rPr>
        <w:t>损失。</w:t>
      </w:r>
    </w:p>
    <w:p w14:paraId="2A61506C">
      <w:pPr>
        <w:keepNext w:val="0"/>
        <w:keepLines w:val="0"/>
        <w:pageBreakBefore w:val="0"/>
        <w:widowControl w:val="0"/>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9</w:t>
      </w:r>
      <w:r>
        <w:rPr>
          <w:rFonts w:hint="eastAsia" w:ascii="楷体" w:hAnsi="楷体" w:eastAsia="楷体" w:cs="楷体"/>
          <w:color w:val="auto"/>
          <w:sz w:val="28"/>
          <w:szCs w:val="28"/>
          <w:highlight w:val="none"/>
        </w:rPr>
        <w:t>、</w:t>
      </w:r>
      <w:r>
        <w:rPr>
          <w:rFonts w:hint="eastAsia" w:ascii="楷体" w:hAnsi="楷体" w:eastAsia="楷体" w:cs="楷体"/>
          <w:bCs/>
          <w:color w:val="auto"/>
          <w:sz w:val="28"/>
          <w:szCs w:val="28"/>
          <w:highlight w:val="none"/>
        </w:rPr>
        <w:t>对</w:t>
      </w:r>
      <w:r>
        <w:rPr>
          <w:rFonts w:hint="eastAsia" w:ascii="楷体" w:hAnsi="楷体" w:eastAsia="楷体" w:cs="楷体"/>
          <w:bCs/>
          <w:color w:val="auto"/>
          <w:sz w:val="28"/>
          <w:szCs w:val="28"/>
          <w:highlight w:val="none"/>
          <w:lang w:eastAsia="zh-CN"/>
        </w:rPr>
        <w:t>采购人</w:t>
      </w:r>
      <w:r>
        <w:rPr>
          <w:rFonts w:hint="eastAsia" w:ascii="楷体" w:hAnsi="楷体" w:eastAsia="楷体" w:cs="楷体"/>
          <w:bCs/>
          <w:color w:val="auto"/>
          <w:sz w:val="28"/>
          <w:szCs w:val="28"/>
          <w:highlight w:val="none"/>
        </w:rPr>
        <w:t>发现的问题及时补充修改。</w:t>
      </w:r>
      <w:r>
        <w:rPr>
          <w:rFonts w:hint="eastAsia" w:ascii="楷体" w:hAnsi="楷体" w:eastAsia="楷体" w:cs="楷体"/>
          <w:color w:val="auto"/>
          <w:sz w:val="28"/>
          <w:szCs w:val="28"/>
          <w:highlight w:val="none"/>
        </w:rPr>
        <w:t>工程交付尚未使用期间凡属工程遗留问题，</w:t>
      </w:r>
      <w:r>
        <w:rPr>
          <w:rFonts w:hint="eastAsia" w:ascii="楷体" w:hAnsi="楷体" w:eastAsia="楷体" w:cs="楷体"/>
          <w:color w:val="auto"/>
          <w:sz w:val="28"/>
          <w:szCs w:val="28"/>
          <w:highlight w:val="none"/>
          <w:lang w:eastAsia="zh-CN"/>
        </w:rPr>
        <w:t>成交供应商</w:t>
      </w:r>
      <w:r>
        <w:rPr>
          <w:rFonts w:hint="eastAsia" w:ascii="楷体" w:hAnsi="楷体" w:eastAsia="楷体" w:cs="楷体"/>
          <w:color w:val="auto"/>
          <w:sz w:val="28"/>
          <w:szCs w:val="28"/>
          <w:highlight w:val="none"/>
        </w:rPr>
        <w:t>在接到</w:t>
      </w:r>
      <w:r>
        <w:rPr>
          <w:rFonts w:hint="eastAsia" w:ascii="楷体" w:hAnsi="楷体" w:eastAsia="楷体" w:cs="楷体"/>
          <w:color w:val="auto"/>
          <w:sz w:val="28"/>
          <w:szCs w:val="28"/>
          <w:highlight w:val="none"/>
          <w:lang w:eastAsia="zh-CN"/>
        </w:rPr>
        <w:t>采购人</w:t>
      </w:r>
      <w:r>
        <w:rPr>
          <w:rFonts w:hint="eastAsia" w:ascii="楷体" w:hAnsi="楷体" w:eastAsia="楷体" w:cs="楷体"/>
          <w:color w:val="auto"/>
          <w:sz w:val="28"/>
          <w:szCs w:val="28"/>
          <w:highlight w:val="none"/>
        </w:rPr>
        <w:t>书面通知后三天内组织整改。逾期</w:t>
      </w:r>
      <w:r>
        <w:rPr>
          <w:rFonts w:hint="eastAsia" w:ascii="楷体" w:hAnsi="楷体" w:eastAsia="楷体" w:cs="楷体"/>
          <w:color w:val="auto"/>
          <w:sz w:val="28"/>
          <w:szCs w:val="28"/>
          <w:highlight w:val="none"/>
          <w:lang w:eastAsia="zh-CN"/>
        </w:rPr>
        <w:t>采购人</w:t>
      </w:r>
      <w:r>
        <w:rPr>
          <w:rFonts w:hint="eastAsia" w:ascii="楷体" w:hAnsi="楷体" w:eastAsia="楷体" w:cs="楷体"/>
          <w:color w:val="auto"/>
          <w:sz w:val="28"/>
          <w:szCs w:val="28"/>
          <w:highlight w:val="none"/>
        </w:rPr>
        <w:t>将组织整改，一切费用由</w:t>
      </w:r>
      <w:r>
        <w:rPr>
          <w:rFonts w:hint="eastAsia" w:ascii="楷体" w:hAnsi="楷体" w:eastAsia="楷体" w:cs="楷体"/>
          <w:color w:val="auto"/>
          <w:sz w:val="28"/>
          <w:szCs w:val="28"/>
          <w:highlight w:val="none"/>
          <w:lang w:eastAsia="zh-CN"/>
        </w:rPr>
        <w:t>成交供应商</w:t>
      </w:r>
      <w:r>
        <w:rPr>
          <w:rFonts w:hint="eastAsia" w:ascii="楷体" w:hAnsi="楷体" w:eastAsia="楷体" w:cs="楷体"/>
          <w:color w:val="auto"/>
          <w:sz w:val="28"/>
          <w:szCs w:val="28"/>
          <w:highlight w:val="none"/>
        </w:rPr>
        <w:t>承担。</w:t>
      </w:r>
    </w:p>
    <w:p w14:paraId="46A5AAA3">
      <w:pPr>
        <w:keepNext w:val="0"/>
        <w:keepLines w:val="0"/>
        <w:pageBreakBefore w:val="0"/>
        <w:widowControl w:val="0"/>
        <w:spacing w:line="360" w:lineRule="auto"/>
        <w:rPr>
          <w:rFonts w:hint="eastAsia" w:ascii="楷体" w:hAnsi="楷体" w:eastAsia="楷体" w:cs="楷体"/>
          <w:bCs/>
          <w:color w:val="auto"/>
          <w:sz w:val="28"/>
          <w:szCs w:val="28"/>
          <w:highlight w:val="none"/>
        </w:rPr>
      </w:pPr>
      <w:r>
        <w:rPr>
          <w:rFonts w:hint="eastAsia" w:ascii="楷体" w:hAnsi="楷体" w:eastAsia="楷体" w:cs="楷体"/>
          <w:bCs/>
          <w:color w:val="auto"/>
          <w:sz w:val="28"/>
          <w:szCs w:val="28"/>
          <w:highlight w:val="none"/>
          <w:lang w:val="en-US" w:eastAsia="zh-CN"/>
        </w:rPr>
        <w:t>10</w:t>
      </w:r>
      <w:r>
        <w:rPr>
          <w:rFonts w:hint="eastAsia" w:ascii="楷体" w:hAnsi="楷体" w:eastAsia="楷体" w:cs="楷体"/>
          <w:bCs/>
          <w:color w:val="auto"/>
          <w:sz w:val="28"/>
          <w:szCs w:val="28"/>
          <w:highlight w:val="none"/>
        </w:rPr>
        <w:t>、</w:t>
      </w:r>
      <w:r>
        <w:rPr>
          <w:rFonts w:hint="eastAsia" w:ascii="楷体" w:hAnsi="楷体" w:eastAsia="楷体" w:cs="楷体"/>
          <w:bCs/>
          <w:color w:val="auto"/>
          <w:sz w:val="28"/>
          <w:szCs w:val="28"/>
          <w:highlight w:val="none"/>
          <w:lang w:eastAsia="zh-CN"/>
        </w:rPr>
        <w:t>成交供应商</w:t>
      </w:r>
      <w:r>
        <w:rPr>
          <w:rFonts w:hint="eastAsia" w:ascii="楷体" w:hAnsi="楷体" w:eastAsia="楷体" w:cs="楷体"/>
          <w:bCs/>
          <w:color w:val="auto"/>
          <w:sz w:val="28"/>
          <w:szCs w:val="28"/>
          <w:highlight w:val="none"/>
        </w:rPr>
        <w:t>在履行合同过程中，一切事故的责任由</w:t>
      </w:r>
      <w:r>
        <w:rPr>
          <w:rFonts w:hint="eastAsia" w:ascii="楷体" w:hAnsi="楷体" w:eastAsia="楷体" w:cs="楷体"/>
          <w:bCs/>
          <w:color w:val="auto"/>
          <w:sz w:val="28"/>
          <w:szCs w:val="28"/>
          <w:highlight w:val="none"/>
          <w:lang w:eastAsia="zh-CN"/>
        </w:rPr>
        <w:t>成交供应商</w:t>
      </w:r>
      <w:r>
        <w:rPr>
          <w:rFonts w:hint="eastAsia" w:ascii="楷体" w:hAnsi="楷体" w:eastAsia="楷体" w:cs="楷体"/>
          <w:bCs/>
          <w:color w:val="auto"/>
          <w:sz w:val="28"/>
          <w:szCs w:val="28"/>
          <w:highlight w:val="none"/>
        </w:rPr>
        <w:t>自行承担。</w:t>
      </w:r>
    </w:p>
    <w:p w14:paraId="55E50271">
      <w:pPr>
        <w:keepNext w:val="0"/>
        <w:keepLines w:val="0"/>
        <w:pageBreakBefore w:val="0"/>
        <w:widowControl w:val="0"/>
        <w:spacing w:line="360" w:lineRule="auto"/>
        <w:rPr>
          <w:rFonts w:hint="eastAsia" w:ascii="楷体" w:hAnsi="楷体" w:eastAsia="楷体" w:cs="楷体"/>
          <w:color w:val="auto"/>
          <w:sz w:val="28"/>
          <w:szCs w:val="28"/>
          <w:highlight w:val="none"/>
        </w:rPr>
      </w:pPr>
      <w:r>
        <w:rPr>
          <w:rFonts w:hint="eastAsia" w:ascii="楷体" w:hAnsi="楷体" w:eastAsia="楷体" w:cs="楷体"/>
          <w:bCs/>
          <w:color w:val="auto"/>
          <w:sz w:val="28"/>
          <w:szCs w:val="28"/>
          <w:highlight w:val="none"/>
        </w:rPr>
        <w:t>1</w:t>
      </w:r>
      <w:r>
        <w:rPr>
          <w:rFonts w:hint="eastAsia" w:ascii="楷体" w:hAnsi="楷体" w:eastAsia="楷体" w:cs="楷体"/>
          <w:bCs/>
          <w:color w:val="auto"/>
          <w:sz w:val="28"/>
          <w:szCs w:val="28"/>
          <w:highlight w:val="none"/>
          <w:lang w:val="en-US" w:eastAsia="zh-CN"/>
        </w:rPr>
        <w:t>1</w:t>
      </w:r>
      <w:r>
        <w:rPr>
          <w:rFonts w:hint="eastAsia" w:ascii="楷体" w:hAnsi="楷体" w:eastAsia="楷体" w:cs="楷体"/>
          <w:bCs/>
          <w:color w:val="auto"/>
          <w:sz w:val="28"/>
          <w:szCs w:val="28"/>
          <w:highlight w:val="none"/>
        </w:rPr>
        <w:t>、</w:t>
      </w:r>
      <w:r>
        <w:rPr>
          <w:rFonts w:hint="eastAsia" w:ascii="楷体" w:hAnsi="楷体" w:eastAsia="楷体" w:cs="楷体"/>
          <w:color w:val="auto"/>
          <w:sz w:val="28"/>
          <w:szCs w:val="28"/>
          <w:highlight w:val="none"/>
        </w:rPr>
        <w:t>供应商对该工程所使用的全部材料、配件及工程质量负责，</w:t>
      </w:r>
      <w:r>
        <w:rPr>
          <w:rFonts w:hint="eastAsia" w:ascii="楷体" w:hAnsi="楷体" w:eastAsia="楷体" w:cs="楷体"/>
          <w:b w:val="0"/>
          <w:bCs w:val="0"/>
          <w:color w:val="auto"/>
          <w:sz w:val="28"/>
          <w:szCs w:val="28"/>
          <w:highlight w:val="none"/>
          <w:lang w:eastAsia="zh-CN"/>
        </w:rPr>
        <w:t>提供免费质保五年（请具体注明子项质保年限）</w:t>
      </w:r>
      <w:r>
        <w:rPr>
          <w:rFonts w:hint="eastAsia" w:ascii="楷体" w:hAnsi="楷体" w:eastAsia="楷体" w:cs="楷体"/>
          <w:color w:val="auto"/>
          <w:sz w:val="28"/>
          <w:szCs w:val="28"/>
          <w:highlight w:val="none"/>
        </w:rPr>
        <w:t>，从工程验收合格之日起计算，免费质保期间除人为损坏，其他质量问题 24 小时内到位维修。</w:t>
      </w:r>
    </w:p>
    <w:p w14:paraId="35FFA088">
      <w:pPr>
        <w:keepNext w:val="0"/>
        <w:keepLines w:val="0"/>
        <w:pageBreakBefore w:val="0"/>
        <w:widowControl w:val="0"/>
        <w:spacing w:line="360" w:lineRule="auto"/>
        <w:ind w:left="0"/>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color w:val="auto"/>
          <w:sz w:val="28"/>
          <w:szCs w:val="28"/>
          <w:highlight w:val="none"/>
        </w:rPr>
        <w:t>1</w:t>
      </w: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、通过验收后5个工作日内</w:t>
      </w:r>
      <w:r>
        <w:rPr>
          <w:rFonts w:hint="eastAsia" w:ascii="楷体" w:hAnsi="楷体" w:eastAsia="楷体" w:cs="楷体"/>
          <w:color w:val="auto"/>
          <w:sz w:val="28"/>
          <w:szCs w:val="28"/>
          <w:highlight w:val="none"/>
          <w:lang w:eastAsia="zh-CN"/>
        </w:rPr>
        <w:t>成交供应商</w:t>
      </w:r>
      <w:r>
        <w:rPr>
          <w:rFonts w:hint="eastAsia" w:ascii="楷体" w:hAnsi="楷体" w:eastAsia="楷体" w:cs="楷体"/>
          <w:color w:val="auto"/>
          <w:sz w:val="28"/>
          <w:szCs w:val="28"/>
          <w:highlight w:val="none"/>
        </w:rPr>
        <w:t>必须将施工队伍、施工机具、周转材料等全部撤清，所有建筑垃圾等必须清运，保持施工现场平整、整洁，塔吊、井架基础等清理完成，如不清运，</w:t>
      </w:r>
      <w:r>
        <w:rPr>
          <w:rFonts w:hint="eastAsia" w:ascii="楷体" w:hAnsi="楷体" w:eastAsia="楷体" w:cs="楷体"/>
          <w:color w:val="auto"/>
          <w:sz w:val="28"/>
          <w:szCs w:val="28"/>
          <w:highlight w:val="none"/>
          <w:lang w:eastAsia="zh-CN"/>
        </w:rPr>
        <w:t>采购人</w:t>
      </w:r>
      <w:r>
        <w:rPr>
          <w:rFonts w:hint="eastAsia" w:ascii="楷体" w:hAnsi="楷体" w:eastAsia="楷体" w:cs="楷体"/>
          <w:color w:val="auto"/>
          <w:sz w:val="28"/>
          <w:szCs w:val="28"/>
          <w:highlight w:val="none"/>
        </w:rPr>
        <w:t>委托清运，费用由</w:t>
      </w:r>
      <w:r>
        <w:rPr>
          <w:rFonts w:hint="eastAsia" w:ascii="楷体" w:hAnsi="楷体" w:eastAsia="楷体" w:cs="楷体"/>
          <w:color w:val="auto"/>
          <w:sz w:val="28"/>
          <w:szCs w:val="28"/>
          <w:highlight w:val="none"/>
          <w:lang w:eastAsia="zh-CN"/>
        </w:rPr>
        <w:t>成交供应商</w:t>
      </w:r>
      <w:r>
        <w:rPr>
          <w:rFonts w:hint="eastAsia" w:ascii="楷体" w:hAnsi="楷体" w:eastAsia="楷体" w:cs="楷体"/>
          <w:color w:val="auto"/>
          <w:sz w:val="28"/>
          <w:szCs w:val="28"/>
          <w:highlight w:val="none"/>
        </w:rPr>
        <w:t>承担在决算中扣除；</w:t>
      </w:r>
      <w:r>
        <w:rPr>
          <w:rFonts w:hint="eastAsia" w:ascii="楷体" w:hAnsi="楷体" w:eastAsia="楷体" w:cs="楷体"/>
          <w:color w:val="auto"/>
          <w:sz w:val="28"/>
          <w:szCs w:val="28"/>
          <w:highlight w:val="none"/>
          <w:lang w:eastAsia="zh-CN"/>
        </w:rPr>
        <w:t>采购人</w:t>
      </w:r>
      <w:r>
        <w:rPr>
          <w:rFonts w:hint="eastAsia" w:ascii="楷体" w:hAnsi="楷体" w:eastAsia="楷体" w:cs="楷体"/>
          <w:color w:val="auto"/>
          <w:sz w:val="28"/>
          <w:szCs w:val="28"/>
          <w:highlight w:val="none"/>
        </w:rPr>
        <w:t>提供的现场设施应完好，损坏需赔偿</w:t>
      </w:r>
      <w:r>
        <w:rPr>
          <w:rFonts w:hint="eastAsia" w:ascii="楷体" w:hAnsi="楷体" w:eastAsia="楷体" w:cs="楷体"/>
          <w:b w:val="0"/>
          <w:bCs w:val="0"/>
          <w:color w:val="auto"/>
          <w:sz w:val="28"/>
          <w:szCs w:val="28"/>
          <w:highlight w:val="none"/>
          <w:lang w:val="en-US" w:eastAsia="zh-CN"/>
        </w:rPr>
        <w:t>。</w:t>
      </w:r>
    </w:p>
    <w:p w14:paraId="30A37078">
      <w:pPr>
        <w:spacing w:line="360" w:lineRule="auto"/>
        <w:jc w:val="both"/>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13、本次采购的办案区监控设备必须无缝接入现有办案区系统，视频会议设备必须无缝接入全省检察机关视频会议系统，并要求成交供应商方出具书面承诺函。</w:t>
      </w:r>
    </w:p>
    <w:p w14:paraId="513D920B">
      <w:pPr>
        <w:spacing w:line="360" w:lineRule="auto"/>
        <w:jc w:val="both"/>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14、采购人有权要求成交供应商在中标后3天内提供设备进行测试。测试不通过的，中标结果作废。</w:t>
      </w:r>
    </w:p>
    <w:p w14:paraId="0286154D">
      <w:pPr>
        <w:spacing w:line="360" w:lineRule="auto"/>
        <w:jc w:val="both"/>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八、安全施工要求</w:t>
      </w:r>
    </w:p>
    <w:p w14:paraId="4B60F4DD">
      <w:pPr>
        <w:spacing w:line="360" w:lineRule="auto"/>
        <w:jc w:val="both"/>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1、工程开工前应做好施工方案，严格遵守国家现行的有关安全技术规程、文件，针对本工 程特点，制定专项安全防护管理制度和措施，消除事故隐患。</w:t>
      </w:r>
    </w:p>
    <w:p w14:paraId="2E67B924">
      <w:pPr>
        <w:spacing w:line="360" w:lineRule="auto"/>
        <w:jc w:val="both"/>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2、施工现场要采用全封闭施工，现场应有防止闲人进入的围栏，属于危险作业的地带应加上明显的标志，必要时派专人看管。</w:t>
      </w:r>
    </w:p>
    <w:p w14:paraId="120B67EA">
      <w:pPr>
        <w:spacing w:line="360" w:lineRule="auto"/>
        <w:jc w:val="both"/>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3、同一现场有多单位配合施工时，应由总包单位与各有关单位共同议定安全工作制度，共同遵照执行。</w:t>
      </w:r>
    </w:p>
    <w:p w14:paraId="2556AFA3">
      <w:pPr>
        <w:spacing w:line="360" w:lineRule="auto"/>
        <w:jc w:val="both"/>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4、现场内的沟、坑、池、井和及各种预留洞口等其他危险部位，应设置防护栏或防护挡板，并设危险标志，在可能范围内加以封闭。</w:t>
      </w:r>
    </w:p>
    <w:p w14:paraId="43DEA068">
      <w:pPr>
        <w:spacing w:line="360" w:lineRule="auto"/>
        <w:jc w:val="both"/>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5、一切脚手架或棚架、防护设施、安全标志和警告牌等，一经架设后，不得擅自拆动。如需拆动时，必须经现场施工负责人同意。</w:t>
      </w:r>
    </w:p>
    <w:p w14:paraId="1BF23FA0">
      <w:pPr>
        <w:spacing w:line="360" w:lineRule="auto"/>
        <w:jc w:val="both"/>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6、不应在拆落的模板上行走，以防钉伤和模板失稳坠落伤人。</w:t>
      </w:r>
    </w:p>
    <w:p w14:paraId="067BA836">
      <w:pPr>
        <w:spacing w:line="360" w:lineRule="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7、在施工过程中，主要材料的技术参数及性能等不得低于编标依据，供货前主要材料设备须经采购人认可并书面确认，否则，采购人有权拒收且保留甲供材的权利。</w:t>
      </w:r>
    </w:p>
    <w:p w14:paraId="05A75417">
      <w:pPr>
        <w:spacing w:line="360" w:lineRule="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8、质量要求：符合国家、江苏省相关规范、标准，满足采购人使用需求，达到本项目甲方各项要求及工程质量达到国家规范标准要求。</w:t>
      </w:r>
    </w:p>
    <w:p w14:paraId="7B226BDF">
      <w:pPr>
        <w:spacing w:line="360" w:lineRule="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9、供应商对该工程所使用的全部材料及工程质量负责，工程的质量保修期应按《建设工程质量管理条例》及有关规定执行，请具体注明子项质保年限。从工程验收合格之日起计算，免费质保期间除人为损坏，其他质量问题 48 小时内到位维修。</w:t>
      </w:r>
    </w:p>
    <w:p w14:paraId="07DA30DA">
      <w:pPr>
        <w:spacing w:line="360" w:lineRule="auto"/>
        <w:jc w:val="both"/>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九、施工环境保护</w:t>
      </w:r>
    </w:p>
    <w:p w14:paraId="231ED202">
      <w:pPr>
        <w:spacing w:line="360" w:lineRule="auto"/>
        <w:jc w:val="both"/>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1、严格遵守国家环境保护法律、法规，在合同规定施工区外的生态环境绿色植物、树木等，尽量维护原状，尽力保护施工区内林木、植被，同时注意保护地下文物。</w:t>
      </w:r>
    </w:p>
    <w:p w14:paraId="408597B3">
      <w:pPr>
        <w:spacing w:line="360" w:lineRule="auto"/>
        <w:jc w:val="both"/>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2、制定环境保护管理规定，保护和改善施工现场的生活环境和生态环境。工程项目文明施 工总的原则和要求是：文明施工，人人有责；分工负责，逐级监督；场地整洁，存放有序；创造安全、整洁、有序的施工环境与条件，以适应现代管理的需要。</w:t>
      </w:r>
    </w:p>
    <w:p w14:paraId="4C1846AC">
      <w:pPr>
        <w:spacing w:line="360" w:lineRule="auto"/>
        <w:jc w:val="both"/>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3、施工期间要定期清扫、洒水， 以减少尘土飞扬。水泥、白灰、粉煤灰等易飞扬的细颗散体材料露天堆放时应下垫上盖，防止飞扬和流失污染。</w:t>
      </w:r>
    </w:p>
    <w:p w14:paraId="408F1BFB">
      <w:pPr>
        <w:spacing w:line="360" w:lineRule="auto"/>
        <w:jc w:val="both"/>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4、施工范围四周应设置样式统一的围挡，全面推行现场施工标准化作业。</w:t>
      </w:r>
    </w:p>
    <w:p w14:paraId="468E0F57">
      <w:pPr>
        <w:keepNext w:val="0"/>
        <w:keepLines w:val="0"/>
        <w:pageBreakBefore w:val="0"/>
        <w:widowControl w:val="0"/>
        <w:spacing w:line="360" w:lineRule="auto"/>
        <w:ind w:left="0"/>
        <w:rPr>
          <w:rFonts w:hint="eastAsia" w:ascii="楷体" w:hAnsi="楷体" w:eastAsia="楷体" w:cs="楷体"/>
          <w:b/>
          <w:bCs/>
          <w:color w:val="auto"/>
          <w:sz w:val="28"/>
          <w:szCs w:val="28"/>
          <w:highlight w:val="none"/>
          <w:lang w:val="en-US" w:eastAsia="zh-CN"/>
        </w:rPr>
      </w:pPr>
      <w:r>
        <w:rPr>
          <w:rFonts w:hint="eastAsia" w:ascii="楷体" w:hAnsi="楷体" w:eastAsia="楷体" w:cs="楷体"/>
          <w:color w:val="auto"/>
          <w:sz w:val="28"/>
          <w:szCs w:val="28"/>
          <w:highlight w:val="none"/>
          <w:lang w:val="en-US" w:eastAsia="zh-CN"/>
        </w:rPr>
        <w:t>5、对产生噪声、振动的施工机械，采取有效的控制措施，减轻噪声扰民。在施工作业时，除抢险、抢修外，有较大噪声、振动较大的设备不应安排在夜间（22  时～次日 6 时）施工。</w:t>
      </w:r>
    </w:p>
    <w:p w14:paraId="6B79B0BC">
      <w:pPr>
        <w:keepNext w:val="0"/>
        <w:keepLines w:val="0"/>
        <w:pageBreakBefore w:val="0"/>
        <w:widowControl w:val="0"/>
        <w:spacing w:line="360" w:lineRule="auto"/>
        <w:ind w:left="0"/>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十、实施方案要求</w:t>
      </w:r>
    </w:p>
    <w:p w14:paraId="0A2508FB">
      <w:pPr>
        <w:keepNext w:val="0"/>
        <w:keepLines w:val="0"/>
        <w:pageBreakBefore w:val="0"/>
        <w:widowControl w:val="0"/>
        <w:spacing w:line="360" w:lineRule="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1、投标人中标后需充分了解现状和业务需求，与采购人等相关方充分沟通后，制定详细可行的项目实施方案，对项目计划与进度、项目质量、风险等进行总体管控与协调，经用户认可后方可开始实施。投标人需针对本项目成立专门的项目团队，积极主动与用户单位进行协调沟通，在规定的时间内，保质保量的完成投标所提供应用系统的研发、安装、调试及投入运行，达成项目建设目标。</w:t>
      </w:r>
    </w:p>
    <w:p w14:paraId="13E59E73">
      <w:pPr>
        <w:keepNext w:val="0"/>
        <w:keepLines w:val="0"/>
        <w:pageBreakBefore w:val="0"/>
        <w:widowControl w:val="0"/>
        <w:spacing w:line="360" w:lineRule="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2、投标人应选用具有一定的项目管理能力、计算机技术技能及安全保密意识的人员担任项目经理，项目组成员也应具有相应的能力、技能及安全保密意识，通过组织协调与本项目相适应的人员对本项目系统进行联调实施，确保项目的顺利完成。系统部署安装、调试所需的工具、仪表及安装材料由投标人自行解决。</w:t>
      </w:r>
    </w:p>
    <w:p w14:paraId="128491D2">
      <w:pPr>
        <w:keepNext w:val="0"/>
        <w:keepLines w:val="0"/>
        <w:pageBreakBefore w:val="0"/>
        <w:widowControl w:val="0"/>
        <w:spacing w:line="360" w:lineRule="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3、中标单位须签订保密协议，承诺在项目实施中凡涉及档案数据管理、保存、迁移等相关工作时须严格遵守档案数据安全保密相关规定。</w:t>
      </w:r>
    </w:p>
    <w:p w14:paraId="4E2FF75A">
      <w:pPr>
        <w:keepNext w:val="0"/>
        <w:keepLines w:val="0"/>
        <w:pageBreakBefore w:val="0"/>
        <w:widowControl w:val="0"/>
        <w:spacing w:line="360" w:lineRule="auto"/>
        <w:ind w:left="0"/>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十一、售后服务方案要求</w:t>
      </w:r>
    </w:p>
    <w:p w14:paraId="34753CC6">
      <w:pPr>
        <w:keepNext w:val="0"/>
        <w:keepLines w:val="0"/>
        <w:pageBreakBefore w:val="0"/>
        <w:widowControl w:val="0"/>
        <w:spacing w:line="360" w:lineRule="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1、投标人中标后需充分了解项目培训需求，与用户等相关方充分沟通后，制定详细可行的培训方案，培训方案包括但不限于培训方式、培训人员安排、培训内容、培训计划安排等方面内容。其中培训内容需涵盖本次项目所建设的系统的操作、运维管理等方面内容，通过培训确保本项目所建设的应用系统用户方相关人员能够熟练操作使用系统，并对系统进行日常维护。</w:t>
      </w:r>
    </w:p>
    <w:p w14:paraId="2722EE92">
      <w:pPr>
        <w:keepNext w:val="0"/>
        <w:keepLines w:val="0"/>
        <w:pageBreakBefore w:val="0"/>
        <w:widowControl w:val="0"/>
        <w:spacing w:line="360" w:lineRule="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2、服务期内，本合同项目所有技术和服务发生任何非人为故障，由成交供应商负责恢复。故障报修的响应时间为即时，到达现场的时间为8小时，小型故障恢复时间为12个小时，严重故障恢复时间为48小时内，并及时有效的提供解决方案。</w:t>
      </w:r>
    </w:p>
    <w:p w14:paraId="708F5BED">
      <w:pPr>
        <w:keepNext w:val="0"/>
        <w:keepLines w:val="0"/>
        <w:pageBreakBefore w:val="0"/>
        <w:widowControl w:val="0"/>
        <w:spacing w:line="360" w:lineRule="auto"/>
        <w:ind w:left="0"/>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3、服务期内，对采购单位提出的合理服务要求，成交供应商必须即时进行电话、邮件及远程网络支持，如以上方式无法解决问题，乙方需在8小时内到场服务。如不到场，采购单位有权自行处理，相关费用由投标人负责。</w:t>
      </w:r>
    </w:p>
    <w:p w14:paraId="0A7A27E2">
      <w:pPr>
        <w:keepNext w:val="0"/>
        <w:keepLines w:val="0"/>
        <w:pageBreakBefore w:val="0"/>
        <w:widowControl w:val="0"/>
        <w:spacing w:line="360" w:lineRule="auto"/>
        <w:ind w:left="0"/>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投标人需提供定期回访服务。</w:t>
      </w:r>
    </w:p>
    <w:p w14:paraId="307E58E7">
      <w:pPr>
        <w:keepNext w:val="0"/>
        <w:keepLines w:val="0"/>
        <w:pageBreakBefore w:val="0"/>
        <w:widowControl w:val="0"/>
        <w:spacing w:line="360" w:lineRule="auto"/>
        <w:ind w:left="0"/>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4、本项目免费维保期3年，自验收合格之日起计。</w:t>
      </w:r>
    </w:p>
    <w:p w14:paraId="27B10DCD">
      <w:pPr>
        <w:keepNext w:val="0"/>
        <w:keepLines w:val="0"/>
        <w:pageBreakBefore w:val="0"/>
        <w:widowControl w:val="0"/>
        <w:spacing w:line="360" w:lineRule="auto"/>
        <w:ind w:left="0"/>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5、升级保障方案要求</w:t>
      </w:r>
    </w:p>
    <w:p w14:paraId="5ABCB282">
      <w:pPr>
        <w:keepNext w:val="0"/>
        <w:keepLines w:val="0"/>
        <w:pageBreakBefore w:val="0"/>
        <w:widowControl w:val="0"/>
        <w:spacing w:line="360" w:lineRule="auto"/>
        <w:ind w:left="0" w:firstLine="560"/>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投标人中标后需充分了解现状和业务需求，与采购人等相关方充分沟通后，制定切实可行的升级保障方案，确保升级过程的顺利进行，并最大程度地减少对业务或系统的潜在影响，包括制定相应的升级保障管理措施，以及制定项目各阶段升级保障与控制措施等，对本项目的升级建设工作进行总体管控与保障。</w:t>
      </w:r>
    </w:p>
    <w:p w14:paraId="7AD76090">
      <w:pPr>
        <w:pageBreakBefore w:val="0"/>
        <w:spacing w:line="360" w:lineRule="auto"/>
        <w:ind w:left="0"/>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十二、售后服务及质保</w:t>
      </w:r>
    </w:p>
    <w:p w14:paraId="0C3B73FD">
      <w:pPr>
        <w:pageBreakBefore w:val="0"/>
        <w:spacing w:line="360" w:lineRule="auto"/>
        <w:ind w:left="0"/>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1、质保期限（自交货并验收合格之日起计）：项目要求整体质保三年，根据供应商实际承诺的质保年限提供上门服务及全免费质保等售后服务。</w:t>
      </w:r>
    </w:p>
    <w:p w14:paraId="17B96A21">
      <w:pPr>
        <w:spacing w:line="360" w:lineRule="auto"/>
        <w:rPr>
          <w:rFonts w:hint="eastAsia" w:ascii="楷体" w:hAnsi="楷体" w:eastAsia="楷体" w:cs="楷体"/>
          <w:b/>
          <w:bCs/>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2、售后服务要求：在免费保修期内，成交供应商在接到用户单位电话维修通知后，供应商在24小时内予以更换或维修完毕，确保不影响用户单位实际使用。未及时修复的，采购人有权另行安排其他队伍进行维修，所产生的维修费用从合同价款中直接扣除。成交供应商超时或未在规定的时间内及时维修，每次罚2000元扣款。在质保期内，同一商品、同一质量问题连续两次维修仍无法正常使用，成交供应商无条件给予全套更新或退货。</w:t>
      </w:r>
    </w:p>
    <w:p w14:paraId="2C8B5E3A">
      <w:pPr>
        <w:keepNext w:val="0"/>
        <w:keepLines w:val="0"/>
        <w:pageBreakBefore w:val="0"/>
        <w:widowControl w:val="0"/>
        <w:spacing w:line="360" w:lineRule="auto"/>
        <w:ind w:left="0"/>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val="en-US" w:eastAsia="zh-CN"/>
        </w:rPr>
        <w:t>十三</w:t>
      </w:r>
      <w:r>
        <w:rPr>
          <w:rFonts w:hint="eastAsia" w:ascii="楷体" w:hAnsi="楷体" w:eastAsia="楷体" w:cs="楷体"/>
          <w:b/>
          <w:bCs/>
          <w:color w:val="auto"/>
          <w:sz w:val="28"/>
          <w:szCs w:val="28"/>
          <w:highlight w:val="none"/>
        </w:rPr>
        <w:t>、</w:t>
      </w:r>
      <w:r>
        <w:rPr>
          <w:rFonts w:hint="eastAsia" w:ascii="楷体" w:hAnsi="楷体" w:eastAsia="楷体" w:cs="楷体"/>
          <w:b/>
          <w:bCs/>
          <w:color w:val="auto"/>
          <w:sz w:val="28"/>
          <w:szCs w:val="28"/>
          <w:highlight w:val="none"/>
          <w:lang w:val="en-US" w:eastAsia="zh-CN"/>
        </w:rPr>
        <w:t>工</w:t>
      </w:r>
      <w:r>
        <w:rPr>
          <w:rFonts w:hint="eastAsia" w:ascii="楷体" w:hAnsi="楷体" w:eastAsia="楷体" w:cs="楷体"/>
          <w:b/>
          <w:bCs/>
          <w:color w:val="auto"/>
          <w:sz w:val="28"/>
          <w:szCs w:val="28"/>
          <w:highlight w:val="none"/>
        </w:rPr>
        <w:t>期及</w:t>
      </w:r>
      <w:r>
        <w:rPr>
          <w:rFonts w:hint="eastAsia" w:ascii="楷体" w:hAnsi="楷体" w:eastAsia="楷体" w:cs="楷体"/>
          <w:b/>
          <w:bCs/>
          <w:color w:val="auto"/>
          <w:sz w:val="28"/>
          <w:szCs w:val="28"/>
          <w:highlight w:val="none"/>
          <w:lang w:val="en-US" w:eastAsia="zh-CN"/>
        </w:rPr>
        <w:t>服务</w:t>
      </w:r>
      <w:r>
        <w:rPr>
          <w:rFonts w:hint="eastAsia" w:ascii="楷体" w:hAnsi="楷体" w:eastAsia="楷体" w:cs="楷体"/>
          <w:b/>
          <w:bCs/>
          <w:color w:val="auto"/>
          <w:sz w:val="28"/>
          <w:szCs w:val="28"/>
          <w:highlight w:val="none"/>
        </w:rPr>
        <w:t>地点</w:t>
      </w:r>
    </w:p>
    <w:p w14:paraId="29B469F4">
      <w:pPr>
        <w:keepNext w:val="0"/>
        <w:keepLines w:val="0"/>
        <w:pageBreakBefore w:val="0"/>
        <w:widowControl w:val="0"/>
        <w:spacing w:line="360" w:lineRule="auto"/>
        <w:rPr>
          <w:rFonts w:hint="eastAsia" w:ascii="楷体" w:hAnsi="楷体" w:eastAsia="楷体" w:cs="楷体"/>
          <w:b w:val="0"/>
          <w:bCs w:val="0"/>
          <w:color w:val="auto"/>
          <w:sz w:val="28"/>
          <w:szCs w:val="28"/>
          <w:highlight w:val="none"/>
          <w:lang w:eastAsia="zh-CN"/>
        </w:rPr>
      </w:pPr>
      <w:r>
        <w:rPr>
          <w:rFonts w:hint="eastAsia" w:ascii="楷体" w:hAnsi="楷体" w:eastAsia="楷体" w:cs="楷体"/>
          <w:b w:val="0"/>
          <w:bCs w:val="0"/>
          <w:color w:val="auto"/>
          <w:sz w:val="28"/>
          <w:szCs w:val="28"/>
          <w:highlight w:val="none"/>
          <w:lang w:val="en-US" w:eastAsia="zh-CN"/>
        </w:rPr>
        <w:t>1、</w:t>
      </w:r>
      <w:r>
        <w:rPr>
          <w:rFonts w:hint="eastAsia" w:ascii="楷体" w:hAnsi="楷体" w:eastAsia="楷体" w:cs="楷体"/>
          <w:b w:val="0"/>
          <w:bCs w:val="0"/>
          <w:color w:val="auto"/>
          <w:sz w:val="28"/>
          <w:szCs w:val="28"/>
          <w:highlight w:val="none"/>
        </w:rPr>
        <w:t>工期：</w:t>
      </w:r>
      <w:r>
        <w:rPr>
          <w:rFonts w:hint="eastAsia" w:ascii="楷体" w:hAnsi="楷体" w:eastAsia="楷体" w:cs="楷体"/>
          <w:b w:val="0"/>
          <w:bCs w:val="0"/>
          <w:color w:val="auto"/>
          <w:sz w:val="28"/>
          <w:szCs w:val="28"/>
          <w:highlight w:val="none"/>
          <w:lang w:val="en-US" w:eastAsia="zh-CN"/>
        </w:rPr>
        <w:t>90日历天（根据采购人最终定稿时间计算），采购人签订合同后90日历天内完成交货、安装、调试并具备验收条件。若成交供应商未按照合同约定时间交货、安装、调试的，每推迟一天罚1000元。</w:t>
      </w:r>
    </w:p>
    <w:p w14:paraId="39387175">
      <w:pPr>
        <w:keepNext w:val="0"/>
        <w:keepLines w:val="0"/>
        <w:pageBreakBefore w:val="0"/>
        <w:widowControl w:val="0"/>
        <w:spacing w:line="360" w:lineRule="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lang w:val="en-US" w:eastAsia="zh-CN"/>
        </w:rPr>
        <w:t>2、</w:t>
      </w:r>
      <w:r>
        <w:rPr>
          <w:rFonts w:hint="eastAsia" w:ascii="楷体" w:hAnsi="楷体" w:eastAsia="楷体" w:cs="楷体"/>
          <w:b w:val="0"/>
          <w:bCs w:val="0"/>
          <w:color w:val="auto"/>
          <w:sz w:val="28"/>
          <w:szCs w:val="28"/>
          <w:highlight w:val="none"/>
        </w:rPr>
        <w:t>服务地点：镇江市丹徒区人民检察院，具体由采购人指定。</w:t>
      </w:r>
    </w:p>
    <w:p w14:paraId="466005FD">
      <w:pPr>
        <w:pageBreakBefore w:val="0"/>
        <w:spacing w:line="360" w:lineRule="auto"/>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十四、项目验收</w:t>
      </w:r>
    </w:p>
    <w:p w14:paraId="19C3E3B6">
      <w:pPr>
        <w:pageBreakBefore w:val="0"/>
        <w:spacing w:line="360" w:lineRule="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1、采购人依法组织履约验收工作。</w:t>
      </w:r>
    </w:p>
    <w:p w14:paraId="3B788590">
      <w:pPr>
        <w:pageBreakBefore w:val="0"/>
        <w:spacing w:line="360" w:lineRule="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2、采购人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33222242">
      <w:pPr>
        <w:pageBreakBefore w:val="0"/>
        <w:spacing w:line="360" w:lineRule="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3、对于实际使用人和采购人分离的项目，采购人邀请实际使用人参与验收。</w:t>
      </w:r>
    </w:p>
    <w:p w14:paraId="5E58EBD4">
      <w:pPr>
        <w:pageBreakBefore w:val="0"/>
        <w:spacing w:line="360" w:lineRule="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4、如有必要，采购人邀请参加本项目的其他供应商或第三方专业机构及专家参与验收，相关意见将作为验收书的参考资料。</w:t>
      </w:r>
    </w:p>
    <w:p w14:paraId="2C106560">
      <w:pPr>
        <w:pageBreakBefore w:val="0"/>
        <w:spacing w:line="360" w:lineRule="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5、采购人成立验收小组，按照采购合同的约定对乙方的履约情况进行验收。验收时,采购人按照采购合同的约定对每一项技术、服务、安全标准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48A702B7">
      <w:pPr>
        <w:pageBreakBefore w:val="0"/>
        <w:spacing w:line="360" w:lineRule="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6、验收合格的项目,采购人根据采购合同的约定及时向乙方支付合同款项、退还履约保证金。验收不合格的项目，采购人依法及时处理。采购合同的履行、违约责任和解决争议的方式等适用《民法典》。乙方在履约过程中有政府采购法律法规规定的违法违规情形的,采购人将及时报告本级财政部门。</w:t>
      </w:r>
    </w:p>
    <w:p w14:paraId="08C6C36E">
      <w:pPr>
        <w:pageBreakBefore w:val="0"/>
        <w:spacing w:line="360" w:lineRule="auto"/>
        <w:ind w:left="0"/>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十五、报价费用说明：</w:t>
      </w:r>
    </w:p>
    <w:p w14:paraId="0A3C3551">
      <w:pPr>
        <w:pageBreakBefore w:val="0"/>
        <w:spacing w:line="360" w:lineRule="auto"/>
        <w:ind w:left="0" w:firstLine="560"/>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本项目固定总价报价，投标报价应包括磋商文件所确定的招标范围内的全部工作内容，供应商须充分考虑本项目的特殊性和不可预见性在内的所有为完成本项目的设计与实施及由此引起所需的各项应有费用、税金等，以及为完成上述内容所必须的附属设施、临时设施、材料、劳务及所需的全部费用。</w:t>
      </w: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A3175D"/>
    <w:rsid w:val="470A4433"/>
    <w:rsid w:val="594F55F2"/>
    <w:rsid w:val="68A31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hint="default" w:ascii="宋体" w:hAnsi="宋体" w:eastAsia="宋体" w:cs="宋体"/>
      <w:sz w:val="22"/>
      <w:szCs w:val="22"/>
      <w:lang w:val="zh-CN"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文本11"/>
    <w:basedOn w:val="1"/>
    <w:qFormat/>
    <w:uiPriority w:val="99"/>
    <w:pPr>
      <w:spacing w:before="129"/>
      <w:ind w:left="100"/>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2026-05-06T09:03:00Z</dcterms:created>
  <dc:creator>▕&amp;讀</dc:creator>
  <cp:lastModifiedBy>▕&amp;讀</cp:lastModifiedBy>
  <dcterms:modified xsi:type="dcterms:W3CDTF">2026-05-06T09:04:16Z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633F574514484BFFA6AADF29B853D61A_11</vt:lpwstr>
  </property>
  <property fmtid="{D5CDD505-2E9C-101B-9397-08002B2CF9AE}" pid="4" name="KSOTemplateDocerSaveRecord">
    <vt:lpwstr>eyJoZGlkIjoiNWY0NjEyNGUzZTk2YjBkNjE3NmFjODZlOWRkNjMxMGMiLCJ1c2VySWQiOiIxMzI5MDY0NzI5In0=</vt:lpwstr>
  </property>
</Properties>
</file>